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lang w:eastAsia="zh-CN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91" w:firstLineChars="120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注册型企业财政补贴明细表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91" w:firstLineChars="1200"/>
        <w:rPr>
          <w:rFonts w:hint="eastAsia" w:ascii="仿宋" w:hAnsi="仿宋" w:eastAsia="仿宋" w:cs="仿宋"/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91" w:firstLineChars="1200"/>
        <w:rPr>
          <w:rFonts w:hint="eastAsia" w:ascii="仿宋" w:hAnsi="仿宋" w:eastAsia="仿宋" w:cs="仿宋"/>
          <w:b/>
          <w:bCs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一、政策明细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91" w:firstLineChars="1200"/>
        <w:rPr>
          <w:rFonts w:hint="eastAsia" w:ascii="仿宋" w:hAnsi="仿宋" w:eastAsia="仿宋" w:cs="仿宋"/>
          <w:b/>
          <w:bCs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纳税总额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税种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园区财政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440" w:firstLineChars="2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留成部分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园区留成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2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扶持比例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企业实际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 w:firstLine="220" w:firstLineChars="10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可获比例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bookmarkStart w:id="0" w:name="OLE_LINK1" w:colFirst="2" w:colLast="2"/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500万（含）以下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增值税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50%</w:t>
            </w:r>
          </w:p>
        </w:tc>
        <w:tc>
          <w:tcPr>
            <w:tcW w:w="1705" w:type="dxa"/>
            <w:vMerge w:val="restart"/>
          </w:tcPr>
          <w:p>
            <w:pPr>
              <w:bidi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</w:p>
          <w:p>
            <w:pPr>
              <w:bidi w:val="0"/>
              <w:jc w:val="both"/>
              <w:rPr>
                <w:rFonts w:hint="eastAsia" w:ascii="仿宋" w:hAnsi="仿宋" w:eastAsia="仿宋" w:cs="仿宋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lang w:val="en-US" w:eastAsia="zh-CN"/>
              </w:rPr>
              <w:t xml:space="preserve">    70%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35%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企业所得税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40%</w:t>
            </w:r>
          </w:p>
        </w:tc>
        <w:tc>
          <w:tcPr>
            <w:tcW w:w="1705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28%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个人所得税</w:t>
            </w:r>
          </w:p>
        </w:tc>
        <w:tc>
          <w:tcPr>
            <w:tcW w:w="1704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40%</w:t>
            </w:r>
          </w:p>
        </w:tc>
        <w:tc>
          <w:tcPr>
            <w:tcW w:w="1705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28%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329" w:hRule="atLeast"/>
        </w:trPr>
        <w:tc>
          <w:tcPr>
            <w:tcW w:w="1704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500万（含）以上</w:t>
            </w: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增值税</w:t>
            </w: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50%</w:t>
            </w:r>
          </w:p>
        </w:tc>
        <w:tc>
          <w:tcPr>
            <w:tcW w:w="1705" w:type="dxa"/>
            <w:vMerge w:val="restart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80%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40%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企业所得税</w:t>
            </w: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40%</w:t>
            </w:r>
          </w:p>
        </w:tc>
        <w:tc>
          <w:tcPr>
            <w:tcW w:w="1705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1704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>个人所得税</w:t>
            </w:r>
          </w:p>
        </w:tc>
        <w:tc>
          <w:tcPr>
            <w:tcW w:w="1704" w:type="dxa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40%</w:t>
            </w:r>
          </w:p>
        </w:tc>
        <w:tc>
          <w:tcPr>
            <w:tcW w:w="1705" w:type="dxa"/>
            <w:vMerge w:val="continue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32%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22" w:type="dxa"/>
            <w:gridSpan w:val="5"/>
            <w:tcBorders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left"/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2"/>
                <w:szCs w:val="22"/>
                <w:vertAlign w:val="baseline"/>
                <w:lang w:val="en-US" w:eastAsia="zh-CN"/>
              </w:rPr>
              <w:t xml:space="preserve">                           大项目可一企一议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2891" w:firstLineChars="1200"/>
        <w:rPr>
          <w:rFonts w:hint="eastAsia" w:ascii="仿宋" w:hAnsi="仿宋" w:eastAsia="仿宋" w:cs="仿宋"/>
          <w:b/>
          <w:bCs/>
        </w:rPr>
      </w:pPr>
    </w:p>
    <w:p>
      <w:pPr>
        <w:pStyle w:val="2"/>
        <w:keepNext w:val="0"/>
        <w:keepLines w:val="0"/>
        <w:widowControl/>
        <w:numPr>
          <w:ilvl w:val="0"/>
          <w:numId w:val="1"/>
        </w:numPr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入园标准</w:t>
      </w:r>
    </w:p>
    <w:p>
      <w:pPr>
        <w:pStyle w:val="2"/>
        <w:keepNext w:val="0"/>
        <w:keepLines w:val="0"/>
        <w:widowControl/>
        <w:numPr>
          <w:numId w:val="0"/>
        </w:numPr>
        <w:suppressLineNumbers w:val="0"/>
        <w:spacing w:before="0" w:beforeAutospacing="0" w:after="0" w:afterAutospacing="0"/>
        <w:ind w:leftChars="0" w:right="0" w:rightChars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1、符合园区产业定位;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2、年度税收贡献不低于100万。</w:t>
      </w:r>
      <w:bookmarkStart w:id="1" w:name="_GoBack"/>
      <w:bookmarkEnd w:id="1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/>
          <w:bCs/>
        </w:rPr>
      </w:pPr>
      <w:r>
        <w:rPr>
          <w:rFonts w:hint="eastAsia" w:ascii="仿宋" w:hAnsi="仿宋" w:eastAsia="仿宋" w:cs="仿宋"/>
          <w:b/>
          <w:bCs/>
        </w:rPr>
        <w:t>三、园区优势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1、园区免费提供实际注册地址;协调办理营业执照、税务登记、一般纳税人等有关手续;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2、政策月度兑现，财政补贴可在税款入库次月20日之前完成兑付;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3、政策五年一签。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2ACFC13"/>
    <w:multiLevelType w:val="singleLevel"/>
    <w:tmpl w:val="F2ACFC1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9D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2021-12-14T04:20:29Z</dcterms:created>
  <dc:creator>mh</dc:creator>
  <cp:lastModifiedBy>新疆丝绸之路商会何振</cp:lastModifiedBy>
  <dcterms:modified xsi:type="dcterms:W3CDTF">2021-12-14T04:39:53Z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33E82855769A4F23AF8F6B9070044944</vt:lpwstr>
  </property>
</Properties>
</file>